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04BD" w14:textId="5447AC74" w:rsidR="00EB1EF5" w:rsidRDefault="00767F3E" w:rsidP="00856E85">
      <w:pPr>
        <w:spacing w:after="0" w:line="24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90C3B">
        <w:rPr>
          <w:rFonts w:ascii="標楷體" w:eastAsia="標楷體" w:hAnsi="標楷體" w:hint="eastAsia"/>
          <w:b/>
          <w:bCs/>
          <w:sz w:val="36"/>
          <w:szCs w:val="36"/>
        </w:rPr>
        <w:t>事業</w:t>
      </w:r>
      <w:r w:rsidR="0068573C">
        <w:rPr>
          <w:rFonts w:ascii="標楷體" w:eastAsia="標楷體" w:hAnsi="標楷體" w:hint="eastAsia"/>
          <w:b/>
          <w:bCs/>
          <w:sz w:val="36"/>
          <w:szCs w:val="36"/>
        </w:rPr>
        <w:t>含銅</w:t>
      </w:r>
      <w:r w:rsidRPr="00590C3B">
        <w:rPr>
          <w:rFonts w:ascii="標楷體" w:eastAsia="標楷體" w:hAnsi="標楷體" w:hint="eastAsia"/>
          <w:b/>
          <w:bCs/>
          <w:sz w:val="36"/>
          <w:szCs w:val="36"/>
        </w:rPr>
        <w:t>廢水排放管理</w:t>
      </w:r>
      <w:r w:rsidR="00002637">
        <w:rPr>
          <w:rFonts w:ascii="標楷體" w:eastAsia="標楷體" w:hAnsi="標楷體" w:hint="eastAsia"/>
          <w:b/>
          <w:bCs/>
          <w:sz w:val="36"/>
          <w:szCs w:val="36"/>
        </w:rPr>
        <w:t>意見</w:t>
      </w:r>
      <w:r w:rsidRPr="00590C3B">
        <w:rPr>
          <w:rFonts w:ascii="標楷體" w:eastAsia="標楷體" w:hAnsi="標楷體" w:hint="eastAsia"/>
          <w:b/>
          <w:bCs/>
          <w:sz w:val="36"/>
          <w:szCs w:val="36"/>
        </w:rPr>
        <w:t>調查</w:t>
      </w:r>
    </w:p>
    <w:p w14:paraId="47913C4F" w14:textId="4C90E14D" w:rsidR="0070474D" w:rsidRPr="0070474D" w:rsidRDefault="0070474D" w:rsidP="0070474D">
      <w:pPr>
        <w:spacing w:after="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(個別廠調查)</w:t>
      </w:r>
    </w:p>
    <w:p w14:paraId="16AED4D7" w14:textId="2DF23354" w:rsidR="00957BF6" w:rsidRDefault="00957BF6" w:rsidP="00957BF6">
      <w:pPr>
        <w:spacing w:before="240"/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環境部自</w:t>
      </w:r>
      <w:r>
        <w:rPr>
          <w:rFonts w:ascii="Times New Roman" w:eastAsia="標楷體" w:hAnsi="Times New Roman" w:cs="Times New Roman" w:hint="eastAsia"/>
        </w:rPr>
        <w:t>106</w:t>
      </w:r>
      <w:r>
        <w:rPr>
          <w:rFonts w:ascii="標楷體" w:eastAsia="標楷體" w:hAnsi="標楷體" w:hint="eastAsia"/>
        </w:rPr>
        <w:t>年起即對高科技和金屬相關產業、科學工業園區和工業區等排放之含銅廢水進行管制，包含晶圓製造及半導體製造業、光電材料及元件製造業、化工業、印刷電路板製造業、金屬基本工業、電鍍業和金屬表面處理業等</w:t>
      </w:r>
      <w:r w:rsidRPr="00B6671D">
        <w:rPr>
          <w:rFonts w:ascii="Times New Roman" w:eastAsia="標楷體" w:hAnsi="Times New Roman" w:cs="Times New Roman"/>
        </w:rPr>
        <w:t>7</w:t>
      </w:r>
      <w:r>
        <w:rPr>
          <w:rFonts w:ascii="標楷體" w:eastAsia="標楷體" w:hAnsi="標楷體" w:hint="eastAsia"/>
        </w:rPr>
        <w:t>類行業，以及科學工業園區、石油化學園區及其他工業區等</w:t>
      </w:r>
      <w:r w:rsidRPr="00A046C0">
        <w:rPr>
          <w:rFonts w:ascii="Times New Roman" w:eastAsia="標楷體" w:hAnsi="Times New Roman" w:cs="Times New Roman"/>
        </w:rPr>
        <w:t>3</w:t>
      </w:r>
      <w:r>
        <w:rPr>
          <w:rFonts w:ascii="標楷體" w:eastAsia="標楷體" w:hAnsi="標楷體" w:hint="eastAsia"/>
        </w:rPr>
        <w:t>類專用污水下水道系統，現</w:t>
      </w:r>
      <w:r w:rsidRPr="00767F3E">
        <w:rPr>
          <w:rFonts w:ascii="標楷體" w:eastAsia="標楷體" w:hAnsi="標楷體" w:hint="eastAsia"/>
        </w:rPr>
        <w:t>擬針對</w:t>
      </w:r>
      <w:r>
        <w:rPr>
          <w:rFonts w:ascii="標楷體" w:eastAsia="標楷體" w:hAnsi="標楷體" w:hint="eastAsia"/>
        </w:rPr>
        <w:t>管制對象再次加嚴限值，規</w:t>
      </w:r>
      <w:r w:rsidRPr="004454A6">
        <w:rPr>
          <w:rFonts w:ascii="標楷體" w:eastAsia="標楷體" w:hAnsi="標楷體" w:hint="eastAsia"/>
        </w:rPr>
        <w:t>劃於「放流水標準」中</w:t>
      </w:r>
      <w:r w:rsidRPr="004454A6">
        <w:rPr>
          <w:rFonts w:ascii="標楷體" w:eastAsia="標楷體" w:hAnsi="標楷體" w:hint="eastAsia"/>
          <w:b/>
          <w:bCs/>
          <w:u w:val="single"/>
        </w:rPr>
        <w:t>附表一、二、四、五、九、十及十一加嚴</w:t>
      </w:r>
      <w:bookmarkStart w:id="0" w:name="_Hlk169724936"/>
      <w:r w:rsidRPr="004454A6">
        <w:rPr>
          <w:rFonts w:ascii="標楷體" w:eastAsia="標楷體" w:hAnsi="標楷體" w:hint="eastAsia"/>
          <w:b/>
          <w:bCs/>
          <w:u w:val="single"/>
        </w:rPr>
        <w:t>放流水含銅限值至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1.0</w:t>
      </w:r>
      <w:r w:rsidRPr="004454A6">
        <w:rPr>
          <w:rFonts w:ascii="Times New Roman" w:eastAsia="標楷體" w:hAnsi="Times New Roman" w:cs="Times New Roman"/>
          <w:b/>
          <w:bCs/>
          <w:u w:val="single"/>
        </w:rPr>
        <w:t xml:space="preserve"> mg/L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(116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年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1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月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1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日起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)</w:t>
      </w:r>
      <w:bookmarkEnd w:id="0"/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，並對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7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類行業中放流水量較小者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(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半導體業、光電業、化工業、印刷電路板業≦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500CMD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；電鍍業、金</w:t>
      </w:r>
      <w:r w:rsidR="00084B42">
        <w:rPr>
          <w:rFonts w:ascii="Times New Roman" w:eastAsia="標楷體" w:hAnsi="Times New Roman" w:cs="Times New Roman" w:hint="eastAsia"/>
          <w:b/>
          <w:bCs/>
          <w:u w:val="single"/>
        </w:rPr>
        <w:t>表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業、金屬基本工業≦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150</w:t>
      </w:r>
      <w:r w:rsidR="004454A6" w:rsidRPr="004454A6">
        <w:rPr>
          <w:rFonts w:ascii="Times New Roman" w:eastAsia="標楷體" w:hAnsi="Times New Roman" w:cs="Times New Roman" w:hint="eastAsia"/>
          <w:b/>
          <w:bCs/>
          <w:u w:val="single"/>
        </w:rPr>
        <w:t xml:space="preserve"> CMD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)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加嚴</w:t>
      </w:r>
      <w:r w:rsidRPr="004454A6">
        <w:rPr>
          <w:rFonts w:ascii="標楷體" w:eastAsia="標楷體" w:hAnsi="標楷體" w:hint="eastAsia"/>
          <w:b/>
          <w:bCs/>
          <w:u w:val="single"/>
        </w:rPr>
        <w:t>放流水含銅限值至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1.5</w:t>
      </w:r>
      <w:r w:rsidRPr="004454A6">
        <w:rPr>
          <w:rFonts w:ascii="Times New Roman" w:eastAsia="標楷體" w:hAnsi="Times New Roman" w:cs="Times New Roman"/>
          <w:b/>
          <w:bCs/>
          <w:u w:val="single"/>
        </w:rPr>
        <w:t>mg/L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(116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年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1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月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1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日起</w:t>
      </w:r>
      <w:r w:rsidRPr="004454A6">
        <w:rPr>
          <w:rFonts w:ascii="Times New Roman" w:eastAsia="標楷體" w:hAnsi="Times New Roman" w:cs="Times New Roman" w:hint="eastAsia"/>
          <w:b/>
          <w:bCs/>
          <w:u w:val="single"/>
        </w:rPr>
        <w:t>)</w:t>
      </w:r>
      <w:r>
        <w:rPr>
          <w:rFonts w:ascii="標楷體" w:eastAsia="標楷體" w:hAnsi="標楷體" w:hint="eastAsia"/>
        </w:rPr>
        <w:t>。</w:t>
      </w:r>
    </w:p>
    <w:p w14:paraId="26689FD0" w14:textId="78085E19" w:rsidR="00767F3E" w:rsidRPr="00B10259" w:rsidRDefault="00767F3E" w:rsidP="00B10259">
      <w:pPr>
        <w:ind w:firstLineChars="177" w:firstLine="425"/>
        <w:jc w:val="both"/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</w:rPr>
        <w:t>為</w:t>
      </w:r>
      <w:r w:rsidR="001F1F7C" w:rsidRPr="00B10259">
        <w:rPr>
          <w:rFonts w:ascii="標楷體" w:eastAsia="標楷體" w:hAnsi="標楷體" w:hint="eastAsia"/>
        </w:rPr>
        <w:t>了解</w:t>
      </w:r>
      <w:r w:rsidRPr="00B10259">
        <w:rPr>
          <w:rFonts w:ascii="標楷體" w:eastAsia="標楷體" w:hAnsi="標楷體" w:hint="eastAsia"/>
        </w:rPr>
        <w:t>產業排放</w:t>
      </w:r>
      <w:r w:rsidR="00192626" w:rsidRPr="00B10259">
        <w:rPr>
          <w:rFonts w:ascii="標楷體" w:eastAsia="標楷體" w:hAnsi="標楷體" w:hint="eastAsia"/>
        </w:rPr>
        <w:t>實測資料</w:t>
      </w:r>
      <w:r w:rsidRPr="00B10259">
        <w:rPr>
          <w:rFonts w:ascii="標楷體" w:eastAsia="標楷體" w:hAnsi="標楷體" w:hint="eastAsia"/>
        </w:rPr>
        <w:t>及處理現況，</w:t>
      </w:r>
      <w:r w:rsidR="001F1F7C" w:rsidRPr="00B10259">
        <w:rPr>
          <w:rFonts w:ascii="標楷體" w:eastAsia="標楷體" w:hAnsi="標楷體" w:hint="eastAsia"/>
        </w:rPr>
        <w:t>爭取合理產業權益</w:t>
      </w:r>
      <w:r w:rsidRPr="00B10259">
        <w:rPr>
          <w:rFonts w:ascii="標楷體" w:eastAsia="標楷體" w:hAnsi="標楷體" w:hint="eastAsia"/>
        </w:rPr>
        <w:t>，</w:t>
      </w:r>
      <w:r w:rsidR="001F1F7C" w:rsidRPr="00B10259">
        <w:rPr>
          <w:rFonts w:ascii="標楷體" w:eastAsia="標楷體" w:hAnsi="標楷體" w:hint="eastAsia"/>
        </w:rPr>
        <w:t>爰擬</w:t>
      </w:r>
      <w:r w:rsidRPr="00B10259">
        <w:rPr>
          <w:rFonts w:ascii="標楷體" w:eastAsia="標楷體" w:hAnsi="標楷體" w:hint="eastAsia"/>
        </w:rPr>
        <w:t>收集以下資訊，</w:t>
      </w:r>
      <w:r w:rsidR="00192626" w:rsidRPr="00B10259">
        <w:rPr>
          <w:rFonts w:ascii="標楷體" w:eastAsia="標楷體" w:hAnsi="標楷體" w:hint="eastAsia"/>
          <w:b/>
          <w:bCs/>
        </w:rPr>
        <w:t>敬</w:t>
      </w:r>
      <w:r w:rsidRPr="00B10259">
        <w:rPr>
          <w:rFonts w:ascii="標楷體" w:eastAsia="標楷體" w:hAnsi="標楷體" w:hint="eastAsia"/>
          <w:b/>
          <w:bCs/>
        </w:rPr>
        <w:t>請</w:t>
      </w:r>
      <w:r w:rsidR="00FB0969" w:rsidRPr="00B10259">
        <w:rPr>
          <w:rFonts w:ascii="標楷體" w:eastAsia="標楷體" w:hAnsi="標楷體" w:hint="eastAsia"/>
          <w:b/>
          <w:bCs/>
        </w:rPr>
        <w:t>業者</w:t>
      </w:r>
      <w:r w:rsidRPr="00B10259">
        <w:rPr>
          <w:rFonts w:ascii="標楷體" w:eastAsia="標楷體" w:hAnsi="標楷體" w:hint="eastAsia"/>
          <w:b/>
          <w:bCs/>
        </w:rPr>
        <w:t>於</w:t>
      </w:r>
      <w:r w:rsidRPr="00B10259">
        <w:rPr>
          <w:rFonts w:ascii="標楷體" w:eastAsia="標楷體" w:hAnsi="標楷體" w:hint="eastAsia"/>
          <w:b/>
          <w:bCs/>
          <w:u w:val="single"/>
        </w:rPr>
        <w:t>113年</w:t>
      </w:r>
      <w:r w:rsidRPr="00957BF6">
        <w:rPr>
          <w:rFonts w:ascii="標楷體" w:eastAsia="標楷體" w:hAnsi="標楷體" w:hint="eastAsia"/>
          <w:b/>
          <w:bCs/>
          <w:u w:val="single"/>
        </w:rPr>
        <w:t>7月</w:t>
      </w:r>
      <w:r w:rsidR="00DE60C7">
        <w:rPr>
          <w:rFonts w:ascii="標楷體" w:eastAsia="標楷體" w:hAnsi="標楷體" w:hint="eastAsia"/>
          <w:b/>
          <w:bCs/>
          <w:u w:val="single"/>
        </w:rPr>
        <w:t>8</w:t>
      </w:r>
      <w:r w:rsidRPr="00957BF6">
        <w:rPr>
          <w:rFonts w:ascii="標楷體" w:eastAsia="標楷體" w:hAnsi="標楷體" w:hint="eastAsia"/>
          <w:b/>
          <w:bCs/>
          <w:u w:val="single"/>
        </w:rPr>
        <w:t>日前</w:t>
      </w:r>
      <w:r w:rsidRPr="00B10259">
        <w:rPr>
          <w:rFonts w:ascii="標楷體" w:eastAsia="標楷體" w:hAnsi="標楷體" w:hint="eastAsia"/>
          <w:b/>
          <w:bCs/>
          <w:u w:val="single"/>
        </w:rPr>
        <w:t>惠</w:t>
      </w:r>
      <w:r w:rsidR="00C1370D" w:rsidRPr="00B10259">
        <w:rPr>
          <w:rFonts w:ascii="標楷體" w:eastAsia="標楷體" w:hAnsi="標楷體" w:hint="eastAsia"/>
          <w:b/>
          <w:bCs/>
          <w:u w:val="single"/>
        </w:rPr>
        <w:t>復</w:t>
      </w:r>
      <w:r w:rsidR="00952E6F" w:rsidRPr="00B10259">
        <w:rPr>
          <w:rFonts w:ascii="標楷體" w:eastAsia="標楷體" w:hAnsi="標楷體" w:hint="eastAsia"/>
          <w:b/>
          <w:bCs/>
          <w:u w:val="single"/>
        </w:rPr>
        <w:t>所屬公協會</w:t>
      </w:r>
      <w:r w:rsidR="005C7BE3" w:rsidRPr="00B10259">
        <w:rPr>
          <w:rFonts w:ascii="標楷體" w:eastAsia="標楷體" w:hAnsi="標楷體" w:hint="eastAsia"/>
          <w:b/>
          <w:bCs/>
          <w:u w:val="single"/>
        </w:rPr>
        <w:t>以</w:t>
      </w:r>
      <w:r w:rsidR="00002637" w:rsidRPr="00B10259">
        <w:rPr>
          <w:rFonts w:ascii="標楷體" w:eastAsia="標楷體" w:hAnsi="標楷體" w:hint="eastAsia"/>
          <w:b/>
          <w:bCs/>
          <w:u w:val="single"/>
        </w:rPr>
        <w:t>下資訊</w:t>
      </w:r>
      <w:r w:rsidRPr="00B10259">
        <w:rPr>
          <w:rFonts w:ascii="標楷體" w:eastAsia="標楷體" w:hAnsi="標楷體" w:hint="eastAsia"/>
          <w:b/>
          <w:bCs/>
        </w:rPr>
        <w:t>：</w:t>
      </w:r>
    </w:p>
    <w:p w14:paraId="6FB67F61" w14:textId="77777777" w:rsidR="00B10259" w:rsidRPr="00B10259" w:rsidRDefault="00BD1957" w:rsidP="00645130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所屬</w:t>
      </w:r>
      <w:r w:rsidR="00403E26" w:rsidRPr="00B10259">
        <w:rPr>
          <w:rFonts w:ascii="標楷體" w:eastAsia="標楷體" w:hAnsi="標楷體" w:hint="eastAsia"/>
          <w:b/>
          <w:bCs/>
        </w:rPr>
        <w:t>公協會：</w:t>
      </w:r>
    </w:p>
    <w:p w14:paraId="7A308BA0" w14:textId="77777777" w:rsidR="00957BF6" w:rsidRPr="0084740E" w:rsidRDefault="00BF3F30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□</w:t>
      </w:r>
      <w:r w:rsidR="00957BF6" w:rsidRPr="0084740E">
        <w:rPr>
          <w:rFonts w:ascii="標楷體" w:eastAsia="標楷體" w:hAnsi="標楷體" w:hint="eastAsia"/>
          <w:b/>
          <w:bCs/>
        </w:rPr>
        <w:t>台灣</w:t>
      </w:r>
      <w:r w:rsidR="00957BF6">
        <w:rPr>
          <w:rFonts w:ascii="標楷體" w:eastAsia="標楷體" w:hAnsi="標楷體" w:hint="eastAsia"/>
          <w:b/>
          <w:bCs/>
        </w:rPr>
        <w:t>區表面處理工業同業公</w:t>
      </w:r>
      <w:r w:rsidR="00957BF6" w:rsidRPr="0084740E">
        <w:rPr>
          <w:rFonts w:ascii="標楷體" w:eastAsia="標楷體" w:hAnsi="標楷體" w:hint="eastAsia"/>
          <w:b/>
          <w:bCs/>
        </w:rPr>
        <w:t>會</w:t>
      </w:r>
    </w:p>
    <w:p w14:paraId="3369627A" w14:textId="77777777" w:rsidR="00957BF6" w:rsidRPr="0084740E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□台灣</w:t>
      </w:r>
      <w:r>
        <w:rPr>
          <w:rFonts w:ascii="標楷體" w:eastAsia="標楷體" w:hAnsi="標楷體" w:hint="eastAsia"/>
          <w:b/>
          <w:bCs/>
        </w:rPr>
        <w:t>電路板協會</w:t>
      </w:r>
    </w:p>
    <w:p w14:paraId="6CF3A4C7" w14:textId="77777777" w:rsidR="00957BF6" w:rsidRPr="0084740E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□台灣</w:t>
      </w:r>
      <w:r>
        <w:rPr>
          <w:rFonts w:ascii="標楷體" w:eastAsia="標楷體" w:hAnsi="標楷體" w:hint="eastAsia"/>
          <w:b/>
          <w:bCs/>
        </w:rPr>
        <w:t>鋼鐵工業同業公</w:t>
      </w:r>
      <w:r w:rsidRPr="0084740E">
        <w:rPr>
          <w:rFonts w:ascii="標楷體" w:eastAsia="標楷體" w:hAnsi="標楷體" w:hint="eastAsia"/>
          <w:b/>
          <w:bCs/>
        </w:rPr>
        <w:t>會</w:t>
      </w:r>
    </w:p>
    <w:p w14:paraId="5A056AEA" w14:textId="77777777" w:rsidR="00957BF6" w:rsidRPr="0084740E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□台灣</w:t>
      </w:r>
      <w:r>
        <w:rPr>
          <w:rFonts w:ascii="標楷體" w:eastAsia="標楷體" w:hAnsi="標楷體" w:hint="eastAsia"/>
          <w:b/>
          <w:bCs/>
        </w:rPr>
        <w:t>區石油化學工業同業公</w:t>
      </w:r>
      <w:r w:rsidRPr="0084740E">
        <w:rPr>
          <w:rFonts w:ascii="標楷體" w:eastAsia="標楷體" w:hAnsi="標楷體" w:hint="eastAsia"/>
          <w:b/>
          <w:bCs/>
        </w:rPr>
        <w:t>會</w:t>
      </w:r>
    </w:p>
    <w:p w14:paraId="1CE38055" w14:textId="77777777" w:rsidR="00957BF6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□台灣</w:t>
      </w:r>
      <w:r>
        <w:rPr>
          <w:rFonts w:ascii="標楷體" w:eastAsia="標楷體" w:hAnsi="標楷體" w:hint="eastAsia"/>
          <w:b/>
          <w:bCs/>
        </w:rPr>
        <w:t>區金屬品冶製工業同業公會</w:t>
      </w:r>
    </w:p>
    <w:p w14:paraId="5EBEF0E1" w14:textId="77777777" w:rsidR="00957BF6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</w:t>
      </w:r>
      <w:r>
        <w:rPr>
          <w:rFonts w:ascii="標楷體" w:eastAsia="標楷體" w:hAnsi="標楷體" w:hint="eastAsia"/>
          <w:b/>
          <w:bCs/>
        </w:rPr>
        <w:t>台灣區螺絲工業同業公會</w:t>
      </w:r>
    </w:p>
    <w:p w14:paraId="5E2BC3D3" w14:textId="77777777" w:rsidR="00957BF6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</w:t>
      </w:r>
      <w:r>
        <w:rPr>
          <w:rFonts w:ascii="標楷體" w:eastAsia="標楷體" w:hAnsi="標楷體" w:hint="eastAsia"/>
          <w:b/>
          <w:bCs/>
        </w:rPr>
        <w:t>台灣半導體產業協會</w:t>
      </w:r>
    </w:p>
    <w:p w14:paraId="5004588F" w14:textId="77777777" w:rsidR="00957BF6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</w:t>
      </w:r>
      <w:r>
        <w:rPr>
          <w:rFonts w:ascii="標楷體" w:eastAsia="標楷體" w:hAnsi="標楷體" w:hint="eastAsia"/>
          <w:b/>
          <w:bCs/>
        </w:rPr>
        <w:t>台灣顯示器暨應用產業協會</w:t>
      </w:r>
    </w:p>
    <w:p w14:paraId="51C636CC" w14:textId="77777777" w:rsidR="00957BF6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</w:t>
      </w:r>
      <w:r>
        <w:rPr>
          <w:rFonts w:ascii="標楷體" w:eastAsia="標楷體" w:hAnsi="標楷體" w:hint="eastAsia"/>
          <w:b/>
          <w:bCs/>
        </w:rPr>
        <w:t>台灣光電暨化合物半導體產業協會</w:t>
      </w:r>
    </w:p>
    <w:p w14:paraId="3C310993" w14:textId="77777777" w:rsidR="00957BF6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</w:t>
      </w:r>
      <w:r>
        <w:rPr>
          <w:rFonts w:ascii="標楷體" w:eastAsia="標楷體" w:hAnsi="標楷體" w:hint="eastAsia"/>
          <w:b/>
          <w:bCs/>
        </w:rPr>
        <w:t>太陽光電產業協會</w:t>
      </w:r>
    </w:p>
    <w:p w14:paraId="40492199" w14:textId="77777777" w:rsidR="00957BF6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</w:t>
      </w:r>
      <w:r>
        <w:rPr>
          <w:rFonts w:ascii="標楷體" w:eastAsia="標楷體" w:hAnsi="標楷體" w:hint="eastAsia"/>
          <w:b/>
          <w:bCs/>
        </w:rPr>
        <w:t>台灣</w:t>
      </w:r>
      <w:r w:rsidRPr="0084740E">
        <w:rPr>
          <w:rFonts w:ascii="標楷體" w:eastAsia="標楷體" w:hAnsi="標楷體" w:hint="eastAsia"/>
          <w:b/>
          <w:bCs/>
        </w:rPr>
        <w:t>科學園區科學工業同業公會</w:t>
      </w:r>
    </w:p>
    <w:p w14:paraId="6DE4CC8D" w14:textId="0ED1ECA4" w:rsidR="0024688E" w:rsidRPr="00957BF6" w:rsidRDefault="00957BF6" w:rsidP="00957BF6">
      <w:pPr>
        <w:pStyle w:val="a9"/>
        <w:ind w:left="567"/>
        <w:rPr>
          <w:rFonts w:ascii="標楷體" w:eastAsia="標楷體" w:hAnsi="標楷體"/>
          <w:b/>
          <w:bCs/>
        </w:rPr>
      </w:pPr>
      <w:r w:rsidRPr="0084740E">
        <w:rPr>
          <w:rFonts w:ascii="標楷體" w:eastAsia="標楷體" w:hAnsi="標楷體" w:hint="eastAsia"/>
          <w:b/>
          <w:bCs/>
        </w:rPr>
        <w:t>□</w:t>
      </w:r>
      <w:r>
        <w:rPr>
          <w:rFonts w:ascii="標楷體" w:eastAsia="標楷體" w:hAnsi="標楷體" w:hint="eastAsia"/>
          <w:b/>
          <w:bCs/>
        </w:rPr>
        <w:t>台灣區電機電子工業同業公會</w:t>
      </w:r>
    </w:p>
    <w:p w14:paraId="7FCC0241" w14:textId="25D312D3" w:rsidR="00BD1957" w:rsidRPr="00B10259" w:rsidRDefault="00BD1957" w:rsidP="00645130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  <w:b/>
          <w:bCs/>
        </w:rPr>
        <w:t>工廠名稱及</w:t>
      </w:r>
      <w:r w:rsidR="00BF3F30" w:rsidRPr="00B10259">
        <w:rPr>
          <w:rFonts w:ascii="標楷體" w:eastAsia="標楷體" w:hAnsi="標楷體" w:hint="eastAsia"/>
          <w:b/>
          <w:bCs/>
        </w:rPr>
        <w:t>聯絡人</w:t>
      </w:r>
      <w:r w:rsidR="00645130" w:rsidRPr="00B10259">
        <w:rPr>
          <w:rFonts w:ascii="標楷體" w:eastAsia="標楷體" w:hAnsi="標楷體" w:hint="eastAsia"/>
          <w:b/>
          <w:bCs/>
        </w:rPr>
        <w:t>：</w:t>
      </w:r>
    </w:p>
    <w:tbl>
      <w:tblPr>
        <w:tblStyle w:val="af3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6232"/>
      </w:tblGrid>
      <w:tr w:rsidR="00B10259" w:rsidRPr="00B10259" w14:paraId="2E2541A7" w14:textId="77777777" w:rsidTr="00B10259">
        <w:tc>
          <w:tcPr>
            <w:tcW w:w="2122" w:type="dxa"/>
          </w:tcPr>
          <w:p w14:paraId="69580DC4" w14:textId="7671EFED" w:rsidR="00B10259" w:rsidRPr="00B10259" w:rsidRDefault="00B10259" w:rsidP="00B10259">
            <w:pPr>
              <w:rPr>
                <w:rFonts w:ascii="標楷體" w:eastAsia="標楷體" w:hAnsi="標楷體"/>
              </w:rPr>
            </w:pPr>
            <w:r w:rsidRPr="00B10259">
              <w:rPr>
                <w:rFonts w:ascii="標楷體" w:eastAsia="標楷體" w:hAnsi="標楷體" w:hint="eastAsia"/>
              </w:rPr>
              <w:t>工廠名稱</w:t>
            </w:r>
          </w:p>
        </w:tc>
        <w:tc>
          <w:tcPr>
            <w:tcW w:w="6232" w:type="dxa"/>
          </w:tcPr>
          <w:p w14:paraId="72151721" w14:textId="77777777" w:rsidR="00B10259" w:rsidRPr="00B10259" w:rsidRDefault="00B10259" w:rsidP="00BD1957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B10259" w:rsidRPr="00B10259" w14:paraId="3EF73039" w14:textId="77777777" w:rsidTr="00B10259">
        <w:tc>
          <w:tcPr>
            <w:tcW w:w="2122" w:type="dxa"/>
          </w:tcPr>
          <w:p w14:paraId="66547676" w14:textId="013B9EB4" w:rsidR="00B10259" w:rsidRPr="00B10259" w:rsidRDefault="00B10259" w:rsidP="00B10259">
            <w:pPr>
              <w:rPr>
                <w:rFonts w:ascii="標楷體" w:eastAsia="標楷體" w:hAnsi="標楷體"/>
              </w:rPr>
            </w:pPr>
            <w:r w:rsidRPr="00B1025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6232" w:type="dxa"/>
          </w:tcPr>
          <w:p w14:paraId="5151820E" w14:textId="77777777" w:rsidR="00B10259" w:rsidRPr="00B10259" w:rsidRDefault="00B10259" w:rsidP="00BD1957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B10259" w:rsidRPr="00B10259" w14:paraId="77D5E943" w14:textId="77777777" w:rsidTr="00B10259">
        <w:tc>
          <w:tcPr>
            <w:tcW w:w="2122" w:type="dxa"/>
          </w:tcPr>
          <w:p w14:paraId="11BF7B03" w14:textId="33813948" w:rsidR="00B10259" w:rsidRPr="00B10259" w:rsidRDefault="00B10259" w:rsidP="00B10259">
            <w:pPr>
              <w:rPr>
                <w:rFonts w:ascii="標楷體" w:eastAsia="標楷體" w:hAnsi="標楷體"/>
              </w:rPr>
            </w:pPr>
            <w:r w:rsidRPr="00B10259">
              <w:rPr>
                <w:rFonts w:ascii="標楷體" w:eastAsia="標楷體" w:hAnsi="標楷體"/>
              </w:rPr>
              <w:t>聯絡</w:t>
            </w:r>
            <w:r w:rsidRPr="00B1025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232" w:type="dxa"/>
          </w:tcPr>
          <w:p w14:paraId="79DEEA78" w14:textId="77777777" w:rsidR="00B10259" w:rsidRPr="00B10259" w:rsidRDefault="00B10259" w:rsidP="00BD1957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B10259" w:rsidRPr="00B10259" w14:paraId="608F0D26" w14:textId="77777777" w:rsidTr="00B10259">
        <w:tc>
          <w:tcPr>
            <w:tcW w:w="2122" w:type="dxa"/>
          </w:tcPr>
          <w:p w14:paraId="2C01CC15" w14:textId="3BA2DF5E" w:rsidR="00B10259" w:rsidRPr="008358CA" w:rsidRDefault="00B10259" w:rsidP="00BD1957">
            <w:pPr>
              <w:pStyle w:val="a9"/>
              <w:ind w:left="0"/>
              <w:rPr>
                <w:rFonts w:ascii="Times New Roman" w:eastAsia="標楷體" w:hAnsi="Times New Roman" w:cs="Times New Roman"/>
              </w:rPr>
            </w:pPr>
            <w:r w:rsidRPr="008358CA">
              <w:rPr>
                <w:rFonts w:ascii="Times New Roman" w:eastAsia="標楷體" w:hAnsi="Times New Roman" w:cs="Times New Roman"/>
              </w:rPr>
              <w:t>E-</w:t>
            </w:r>
            <w:r w:rsidR="008358CA" w:rsidRPr="008358CA">
              <w:rPr>
                <w:rFonts w:ascii="Times New Roman" w:eastAsia="標楷體" w:hAnsi="Times New Roman" w:cs="Times New Roman"/>
              </w:rPr>
              <w:t>mail</w:t>
            </w:r>
          </w:p>
        </w:tc>
        <w:tc>
          <w:tcPr>
            <w:tcW w:w="6232" w:type="dxa"/>
          </w:tcPr>
          <w:p w14:paraId="5BFEFF25" w14:textId="77777777" w:rsidR="00B10259" w:rsidRPr="00B10259" w:rsidRDefault="00B10259" w:rsidP="00BD1957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</w:tbl>
    <w:p w14:paraId="458B8851" w14:textId="77777777" w:rsidR="00B10259" w:rsidRPr="00B10259" w:rsidRDefault="00B10259" w:rsidP="00BD1957">
      <w:pPr>
        <w:pStyle w:val="a9"/>
        <w:ind w:left="567"/>
        <w:rPr>
          <w:rFonts w:ascii="標楷體" w:eastAsia="標楷體" w:hAnsi="標楷體"/>
        </w:rPr>
      </w:pPr>
    </w:p>
    <w:p w14:paraId="161AF69C" w14:textId="62E10DF2" w:rsidR="00BF3F30" w:rsidRPr="00B10259" w:rsidRDefault="00BF3F30" w:rsidP="006B6D15">
      <w:pPr>
        <w:pStyle w:val="a9"/>
        <w:numPr>
          <w:ilvl w:val="0"/>
          <w:numId w:val="1"/>
        </w:numPr>
        <w:spacing w:after="0"/>
        <w:ind w:left="567" w:hanging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廢水</w:t>
      </w:r>
      <w:r w:rsidR="00AE13CE" w:rsidRPr="00AE13CE">
        <w:rPr>
          <w:rFonts w:ascii="標楷體" w:eastAsia="標楷體" w:hAnsi="標楷體" w:hint="eastAsia"/>
          <w:b/>
          <w:bCs/>
        </w:rPr>
        <w:t>含銅</w:t>
      </w:r>
      <w:r w:rsidR="002531A1">
        <w:rPr>
          <w:rFonts w:ascii="標楷體" w:eastAsia="標楷體" w:hAnsi="標楷體" w:hint="eastAsia"/>
          <w:b/>
          <w:bCs/>
        </w:rPr>
        <w:t>濃度範圍</w:t>
      </w:r>
      <w:r w:rsidR="00002637" w:rsidRPr="00B10259">
        <w:rPr>
          <w:rFonts w:ascii="標楷體" w:eastAsia="標楷體" w:hAnsi="標楷體" w:hint="eastAsia"/>
          <w:b/>
          <w:bCs/>
        </w:rPr>
        <w:t>現況</w:t>
      </w:r>
      <w:r w:rsidR="00645130" w:rsidRPr="00B10259">
        <w:rPr>
          <w:rFonts w:ascii="標楷體" w:eastAsia="標楷體" w:hAnsi="標楷體" w:hint="eastAsia"/>
          <w:b/>
          <w:bCs/>
        </w:rPr>
        <w:t>：</w:t>
      </w:r>
    </w:p>
    <w:p w14:paraId="6E1EB2D5" w14:textId="6BAFB9DE" w:rsidR="00272461" w:rsidRPr="00B10259" w:rsidRDefault="00392522" w:rsidP="00272461">
      <w:pPr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</w:rPr>
        <w:t xml:space="preserve">  </w:t>
      </w:r>
      <w:r w:rsidR="006B6D15" w:rsidRPr="00B10259">
        <w:rPr>
          <w:rFonts w:ascii="標楷體" w:eastAsia="標楷體" w:hAnsi="標楷體" w:hint="eastAsia"/>
        </w:rPr>
        <w:t xml:space="preserve"> </w:t>
      </w:r>
      <w:r w:rsidR="00A75521" w:rsidRPr="00B10259">
        <w:rPr>
          <w:rFonts w:ascii="標楷體" w:eastAsia="標楷體" w:hAnsi="標楷體" w:hint="eastAsia"/>
        </w:rPr>
        <w:t>原</w:t>
      </w:r>
      <w:r w:rsidR="00192626" w:rsidRPr="00B10259">
        <w:rPr>
          <w:rFonts w:ascii="標楷體" w:eastAsia="標楷體" w:hAnsi="標楷體" w:hint="eastAsia"/>
        </w:rPr>
        <w:t>水</w:t>
      </w:r>
      <w:r w:rsidR="00010283" w:rsidRPr="00B10259">
        <w:rPr>
          <w:rFonts w:ascii="標楷體" w:eastAsia="標楷體" w:hAnsi="標楷體" w:hint="eastAsia"/>
        </w:rPr>
        <w:t>進</w:t>
      </w:r>
      <w:r w:rsidR="00BF3F30" w:rsidRPr="00B10259">
        <w:rPr>
          <w:rFonts w:ascii="標楷體" w:eastAsia="標楷體" w:hAnsi="標楷體" w:hint="eastAsia"/>
        </w:rPr>
        <w:t>流測值範圍：</w:t>
      </w:r>
      <w:r w:rsidR="00272461" w:rsidRPr="00B10259">
        <w:rPr>
          <w:rFonts w:ascii="標楷體" w:eastAsia="標楷體" w:hAnsi="標楷體" w:hint="eastAsia"/>
          <w:u w:val="single"/>
        </w:rPr>
        <w:t xml:space="preserve">    </w:t>
      </w:r>
      <w:r w:rsidR="00BF3F30" w:rsidRPr="00B10259">
        <w:rPr>
          <w:rFonts w:ascii="標楷體" w:eastAsia="標楷體" w:hAnsi="標楷體" w:hint="eastAsia"/>
        </w:rPr>
        <w:t>~</w:t>
      </w:r>
      <w:r w:rsidR="00272461" w:rsidRPr="00B10259">
        <w:rPr>
          <w:rFonts w:ascii="標楷體" w:eastAsia="標楷體" w:hAnsi="標楷體" w:hint="eastAsia"/>
          <w:u w:val="single"/>
        </w:rPr>
        <w:t xml:space="preserve">    </w:t>
      </w:r>
      <w:r w:rsidR="00BF3F30" w:rsidRPr="00B10259">
        <w:rPr>
          <w:rFonts w:ascii="標楷體" w:eastAsia="標楷體" w:hAnsi="標楷體" w:hint="eastAsia"/>
        </w:rPr>
        <w:t>(mg/L)</w:t>
      </w:r>
    </w:p>
    <w:p w14:paraId="74C6C3B8" w14:textId="10BA9B03" w:rsidR="00B10259" w:rsidRPr="00B10259" w:rsidRDefault="00010283" w:rsidP="00272461">
      <w:pPr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</w:rPr>
        <w:t xml:space="preserve">   </w:t>
      </w:r>
      <w:r w:rsidR="00A75521" w:rsidRPr="00B10259">
        <w:rPr>
          <w:rFonts w:ascii="標楷體" w:eastAsia="標楷體" w:hAnsi="標楷體" w:hint="eastAsia"/>
        </w:rPr>
        <w:t>廢</w:t>
      </w:r>
      <w:r w:rsidRPr="00B10259">
        <w:rPr>
          <w:rFonts w:ascii="標楷體" w:eastAsia="標楷體" w:hAnsi="標楷體" w:hint="eastAsia"/>
        </w:rPr>
        <w:t>水放流測值範圍：</w:t>
      </w:r>
      <w:r w:rsidRPr="00B10259">
        <w:rPr>
          <w:rFonts w:ascii="標楷體" w:eastAsia="標楷體" w:hAnsi="標楷體" w:hint="eastAsia"/>
          <w:u w:val="single"/>
        </w:rPr>
        <w:t xml:space="preserve">    </w:t>
      </w:r>
      <w:r w:rsidRPr="00B10259">
        <w:rPr>
          <w:rFonts w:ascii="標楷體" w:eastAsia="標楷體" w:hAnsi="標楷體" w:hint="eastAsia"/>
        </w:rPr>
        <w:t>~</w:t>
      </w:r>
      <w:r w:rsidRPr="00B10259">
        <w:rPr>
          <w:rFonts w:ascii="標楷體" w:eastAsia="標楷體" w:hAnsi="標楷體" w:hint="eastAsia"/>
          <w:u w:val="single"/>
        </w:rPr>
        <w:t xml:space="preserve">    </w:t>
      </w:r>
      <w:r w:rsidRPr="00B10259">
        <w:rPr>
          <w:rFonts w:ascii="標楷體" w:eastAsia="標楷體" w:hAnsi="標楷體" w:hint="eastAsia"/>
        </w:rPr>
        <w:t>(mg/L)</w:t>
      </w:r>
    </w:p>
    <w:p w14:paraId="61D97DA8" w14:textId="77777777" w:rsidR="00B10259" w:rsidRPr="00B10259" w:rsidRDefault="00B10259">
      <w:pPr>
        <w:widowControl/>
        <w:rPr>
          <w:rFonts w:ascii="標楷體" w:eastAsia="標楷體" w:hAnsi="標楷體"/>
        </w:rPr>
      </w:pPr>
      <w:r w:rsidRPr="00B10259">
        <w:rPr>
          <w:rFonts w:ascii="標楷體" w:eastAsia="標楷體" w:hAnsi="標楷體"/>
        </w:rPr>
        <w:br w:type="page"/>
      </w:r>
    </w:p>
    <w:p w14:paraId="0A18480E" w14:textId="4FF92193" w:rsidR="00596A43" w:rsidRPr="00B10259" w:rsidRDefault="001F1F7C" w:rsidP="00272461">
      <w:pPr>
        <w:pStyle w:val="a9"/>
        <w:numPr>
          <w:ilvl w:val="0"/>
          <w:numId w:val="1"/>
        </w:numPr>
        <w:spacing w:after="0"/>
        <w:ind w:left="567" w:hanging="567"/>
        <w:rPr>
          <w:rFonts w:ascii="標楷體" w:eastAsia="標楷體" w:hAnsi="標楷體"/>
          <w:b/>
          <w:bCs/>
          <w:color w:val="0070C0"/>
        </w:rPr>
      </w:pPr>
      <w:r w:rsidRPr="00B10259">
        <w:rPr>
          <w:rFonts w:ascii="標楷體" w:eastAsia="標楷體" w:hAnsi="標楷體" w:hint="eastAsia"/>
          <w:b/>
          <w:bCs/>
        </w:rPr>
        <w:lastRenderedPageBreak/>
        <w:t>為因應法規加嚴，評估</w:t>
      </w:r>
      <w:r w:rsidR="0038255F" w:rsidRPr="00B10259">
        <w:rPr>
          <w:rFonts w:ascii="標楷體" w:eastAsia="標楷體" w:hAnsi="標楷體" w:hint="eastAsia"/>
          <w:b/>
          <w:bCs/>
        </w:rPr>
        <w:t>採行措施</w:t>
      </w:r>
      <w:r w:rsidR="00596A43" w:rsidRPr="00B10259">
        <w:rPr>
          <w:rFonts w:ascii="標楷體" w:eastAsia="標楷體" w:hAnsi="標楷體" w:hint="eastAsia"/>
          <w:b/>
          <w:bCs/>
        </w:rPr>
        <w:t>：</w:t>
      </w:r>
      <w:r w:rsidR="001F538B" w:rsidRPr="00B10259">
        <w:rPr>
          <w:rFonts w:ascii="標楷體" w:eastAsia="標楷體" w:hAnsi="標楷體" w:hint="eastAsia"/>
          <w:b/>
          <w:bCs/>
          <w:color w:val="0070C0"/>
        </w:rPr>
        <w:t>(</w:t>
      </w:r>
      <w:r w:rsidR="00063C63" w:rsidRPr="00063C63">
        <w:rPr>
          <w:rFonts w:ascii="標楷體" w:eastAsia="標楷體" w:hAnsi="標楷體" w:hint="eastAsia"/>
          <w:b/>
          <w:bCs/>
          <w:color w:val="0070C0"/>
          <w:kern w:val="0"/>
          <w14:ligatures w14:val="none"/>
        </w:rPr>
        <w:t>如管末加藥、新增處理設備、分流委託處理高濃度廢液等</w:t>
      </w:r>
      <w:r w:rsidR="001F538B" w:rsidRPr="00B10259">
        <w:rPr>
          <w:rFonts w:ascii="標楷體" w:eastAsia="標楷體" w:hAnsi="標楷體" w:hint="eastAsia"/>
          <w:b/>
          <w:bCs/>
          <w:color w:val="0070C0"/>
        </w:rPr>
        <w:t>)</w:t>
      </w:r>
    </w:p>
    <w:p w14:paraId="6D7CA4BF" w14:textId="77777777" w:rsidR="001F538B" w:rsidRPr="00063C63" w:rsidRDefault="001F538B" w:rsidP="001F538B">
      <w:pPr>
        <w:pStyle w:val="a9"/>
        <w:ind w:left="567"/>
        <w:rPr>
          <w:rFonts w:ascii="標楷體" w:eastAsia="標楷體" w:hAnsi="標楷體"/>
          <w:b/>
          <w:bCs/>
        </w:rPr>
      </w:pPr>
    </w:p>
    <w:p w14:paraId="40D5A705" w14:textId="77777777" w:rsidR="00B10259" w:rsidRPr="00B10259" w:rsidRDefault="00B10259" w:rsidP="001F538B">
      <w:pPr>
        <w:pStyle w:val="a9"/>
        <w:ind w:left="567"/>
        <w:rPr>
          <w:rFonts w:ascii="標楷體" w:eastAsia="標楷體" w:hAnsi="標楷體"/>
          <w:b/>
          <w:bCs/>
        </w:rPr>
      </w:pPr>
    </w:p>
    <w:p w14:paraId="5F75403C" w14:textId="77777777" w:rsidR="00B10259" w:rsidRPr="00B10259" w:rsidRDefault="00B10259" w:rsidP="001F538B">
      <w:pPr>
        <w:pStyle w:val="a9"/>
        <w:ind w:left="567"/>
        <w:rPr>
          <w:rFonts w:ascii="標楷體" w:eastAsia="標楷體" w:hAnsi="標楷體"/>
          <w:b/>
          <w:bCs/>
        </w:rPr>
      </w:pPr>
    </w:p>
    <w:p w14:paraId="4165B1F1" w14:textId="5DDF73FB" w:rsidR="00645130" w:rsidRPr="00B10259" w:rsidRDefault="001F538B" w:rsidP="001F538B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採行上述措施</w:t>
      </w:r>
      <w:r w:rsidR="00645130" w:rsidRPr="00B10259">
        <w:rPr>
          <w:rFonts w:ascii="標楷體" w:eastAsia="標楷體" w:hAnsi="標楷體" w:hint="eastAsia"/>
          <w:b/>
          <w:bCs/>
        </w:rPr>
        <w:t>衍生之其他環境衝擊：</w:t>
      </w:r>
      <w:r w:rsidR="00645130" w:rsidRPr="00B10259">
        <w:rPr>
          <w:rFonts w:ascii="標楷體" w:eastAsia="標楷體" w:hAnsi="標楷體" w:hint="eastAsia"/>
          <w:b/>
          <w:bCs/>
          <w:color w:val="0070C0"/>
        </w:rPr>
        <w:t>(</w:t>
      </w:r>
      <w:r w:rsidRPr="00B10259">
        <w:rPr>
          <w:rFonts w:ascii="標楷體" w:eastAsia="標楷體" w:hAnsi="標楷體" w:hint="eastAsia"/>
          <w:b/>
          <w:bCs/>
          <w:color w:val="0070C0"/>
        </w:rPr>
        <w:t>如新增大量</w:t>
      </w:r>
      <w:r w:rsidR="00645130" w:rsidRPr="00B10259">
        <w:rPr>
          <w:rFonts w:ascii="標楷體" w:eastAsia="標楷體" w:hAnsi="標楷體" w:hint="eastAsia"/>
          <w:b/>
          <w:bCs/>
          <w:color w:val="0070C0"/>
        </w:rPr>
        <w:t>污泥</w:t>
      </w:r>
      <w:r w:rsidR="00063C63">
        <w:rPr>
          <w:rFonts w:ascii="標楷體" w:eastAsia="標楷體" w:hAnsi="標楷體" w:hint="eastAsia"/>
          <w:b/>
          <w:bCs/>
          <w:color w:val="0070C0"/>
        </w:rPr>
        <w:t>、不利放流水回收等，</w:t>
      </w:r>
      <w:r w:rsidR="00063C63">
        <w:rPr>
          <w:rFonts w:ascii="標楷體" w:eastAsia="標楷體" w:hAnsi="標楷體"/>
          <w:b/>
          <w:bCs/>
          <w:color w:val="0070C0"/>
        </w:rPr>
        <w:t>您可自行舉例</w:t>
      </w:r>
      <w:r w:rsidR="00645130" w:rsidRPr="00B10259">
        <w:rPr>
          <w:rFonts w:ascii="標楷體" w:eastAsia="標楷體" w:hAnsi="標楷體" w:hint="eastAsia"/>
          <w:b/>
          <w:bCs/>
          <w:color w:val="0070C0"/>
        </w:rPr>
        <w:t>)</w:t>
      </w:r>
    </w:p>
    <w:p w14:paraId="61A55837" w14:textId="77777777" w:rsidR="005005FC" w:rsidRDefault="005005FC" w:rsidP="005005FC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463D8841" w14:textId="77777777" w:rsidR="00063C63" w:rsidRPr="00063C63" w:rsidRDefault="00063C63" w:rsidP="005005FC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604CBE08" w14:textId="77777777" w:rsidR="005005FC" w:rsidRPr="00B10259" w:rsidRDefault="005005FC" w:rsidP="005005FC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0549E66C" w14:textId="77777777" w:rsidR="00590C3B" w:rsidRPr="00B10259" w:rsidRDefault="00275351" w:rsidP="00590C3B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color w:val="0070C0"/>
        </w:rPr>
      </w:pPr>
      <w:r w:rsidRPr="00B10259">
        <w:rPr>
          <w:rFonts w:ascii="標楷體" w:eastAsia="標楷體" w:hAnsi="標楷體" w:hint="eastAsia"/>
          <w:b/>
          <w:bCs/>
        </w:rPr>
        <w:t>以整體環境友善為考量，建議調整期程及濃度</w:t>
      </w:r>
      <w:r w:rsidR="002B4321" w:rsidRPr="00B10259">
        <w:rPr>
          <w:rFonts w:ascii="標楷體" w:eastAsia="標楷體" w:hAnsi="標楷體" w:hint="eastAsia"/>
          <w:b/>
          <w:bCs/>
        </w:rPr>
        <w:t>標準</w:t>
      </w:r>
      <w:r w:rsidRPr="00B10259">
        <w:rPr>
          <w:rFonts w:ascii="標楷體" w:eastAsia="標楷體" w:hAnsi="標楷體" w:hint="eastAsia"/>
          <w:b/>
          <w:bCs/>
        </w:rPr>
        <w:t>：</w:t>
      </w:r>
    </w:p>
    <w:p w14:paraId="6CFB46A3" w14:textId="31E7AD51" w:rsidR="00590C3B" w:rsidRPr="00B10259" w:rsidRDefault="009336A6" w:rsidP="009336A6">
      <w:pPr>
        <w:pStyle w:val="a9"/>
        <w:numPr>
          <w:ilvl w:val="0"/>
          <w:numId w:val="6"/>
        </w:numPr>
        <w:ind w:left="709"/>
        <w:rPr>
          <w:rFonts w:ascii="標楷體" w:eastAsia="標楷體" w:hAnsi="標楷體"/>
          <w:b/>
          <w:bCs/>
          <w:color w:val="0070C0"/>
        </w:rPr>
      </w:pPr>
      <w:r>
        <w:rPr>
          <w:rFonts w:ascii="標楷體" w:eastAsia="標楷體" w:hAnsi="標楷體" w:hint="eastAsia"/>
          <w:b/>
          <w:bCs/>
          <w:color w:val="0070C0"/>
        </w:rPr>
        <w:t>建議</w:t>
      </w:r>
      <w:r w:rsidRPr="009336A6">
        <w:rPr>
          <w:rFonts w:ascii="標楷體" w:eastAsia="標楷體" w:hAnsi="標楷體" w:hint="eastAsia"/>
          <w:b/>
          <w:bCs/>
          <w:color w:val="0070C0"/>
        </w:rPr>
        <w:t>實施期程與濃度標準</w:t>
      </w:r>
    </w:p>
    <w:tbl>
      <w:tblPr>
        <w:tblStyle w:val="af3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409"/>
        <w:gridCol w:w="3261"/>
      </w:tblGrid>
      <w:tr w:rsidR="009336A6" w:rsidRPr="009336A6" w14:paraId="12A10CA6" w14:textId="77777777" w:rsidTr="00152D6E">
        <w:tc>
          <w:tcPr>
            <w:tcW w:w="8505" w:type="dxa"/>
            <w:gridSpan w:val="3"/>
          </w:tcPr>
          <w:p w14:paraId="2B69BDBF" w14:textId="350B843B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您建議實施期程與濃度標準</w:t>
            </w:r>
          </w:p>
        </w:tc>
      </w:tr>
      <w:tr w:rsidR="009336A6" w:rsidRPr="009336A6" w14:paraId="3BBA7A1A" w14:textId="77777777" w:rsidTr="00152D6E">
        <w:tc>
          <w:tcPr>
            <w:tcW w:w="2835" w:type="dxa"/>
          </w:tcPr>
          <w:p w14:paraId="573A0425" w14:textId="69850038" w:rsidR="009336A6" w:rsidRPr="009336A6" w:rsidRDefault="00957BF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對象</w:t>
            </w:r>
          </w:p>
        </w:tc>
        <w:tc>
          <w:tcPr>
            <w:tcW w:w="2409" w:type="dxa"/>
          </w:tcPr>
          <w:p w14:paraId="67BDF6E0" w14:textId="40E1E91A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建議實施</w:t>
            </w:r>
            <w:r>
              <w:rPr>
                <w:rFonts w:ascii="標楷體" w:eastAsia="標楷體" w:hAnsi="標楷體"/>
                <w:b/>
                <w:bCs/>
              </w:rPr>
              <w:t>年份</w:t>
            </w:r>
            <w:r w:rsidRPr="009336A6">
              <w:rPr>
                <w:rFonts w:ascii="標楷體" w:eastAsia="標楷體" w:hAnsi="標楷體"/>
                <w:b/>
                <w:bCs/>
              </w:rPr>
              <w:t>(民國)</w:t>
            </w:r>
          </w:p>
        </w:tc>
        <w:tc>
          <w:tcPr>
            <w:tcW w:w="3261" w:type="dxa"/>
          </w:tcPr>
          <w:p w14:paraId="7DB4DDBE" w14:textId="0A3860BA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建議總磷之濃度標準(mg/L)</w:t>
            </w:r>
          </w:p>
        </w:tc>
      </w:tr>
      <w:tr w:rsidR="00957BF6" w:rsidRPr="009336A6" w14:paraId="7C0BF7A4" w14:textId="77777777" w:rsidTr="00152D6E">
        <w:tc>
          <w:tcPr>
            <w:tcW w:w="2835" w:type="dxa"/>
          </w:tcPr>
          <w:p w14:paraId="476F01FD" w14:textId="002CC5AE" w:rsidR="00957BF6" w:rsidRPr="009336A6" w:rsidRDefault="00957BF6" w:rsidP="00957B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現行限值為1.5 mg/L者</w:t>
            </w:r>
          </w:p>
        </w:tc>
        <w:tc>
          <w:tcPr>
            <w:tcW w:w="2409" w:type="dxa"/>
          </w:tcPr>
          <w:p w14:paraId="08AC1DE8" w14:textId="540C2C52" w:rsidR="00957BF6" w:rsidRPr="009336A6" w:rsidRDefault="00957BF6" w:rsidP="00957BF6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民國年</w:t>
            </w: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份</w:t>
            </w:r>
          </w:p>
        </w:tc>
        <w:tc>
          <w:tcPr>
            <w:tcW w:w="3261" w:type="dxa"/>
          </w:tcPr>
          <w:p w14:paraId="4E03FC56" w14:textId="67371C94" w:rsidR="00957BF6" w:rsidRPr="009336A6" w:rsidRDefault="00957BF6" w:rsidP="00957BF6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請填建議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濃度</w:t>
            </w:r>
          </w:p>
        </w:tc>
      </w:tr>
      <w:tr w:rsidR="00957BF6" w:rsidRPr="009336A6" w14:paraId="1475FAF4" w14:textId="77777777" w:rsidTr="00152D6E">
        <w:tc>
          <w:tcPr>
            <w:tcW w:w="2835" w:type="dxa"/>
          </w:tcPr>
          <w:p w14:paraId="1DB0A274" w14:textId="77777777" w:rsidR="00152D6E" w:rsidRDefault="00957BF6" w:rsidP="00957B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現行限值為3.0 mg/L者</w:t>
            </w:r>
          </w:p>
          <w:p w14:paraId="7228536C" w14:textId="6705C595" w:rsidR="00957BF6" w:rsidRPr="009336A6" w:rsidRDefault="00957BF6" w:rsidP="00957B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</w:t>
            </w:r>
            <w:r w:rsidR="00063C63" w:rsidRPr="004454A6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半導體業、光電業、化工業、印刷電路板業≦</w:t>
            </w:r>
            <w:r w:rsidR="00063C63" w:rsidRPr="004454A6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500CMD</w:t>
            </w:r>
            <w:r w:rsidR="00063C63" w:rsidRPr="004454A6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；電鍍業、金</w:t>
            </w:r>
            <w:r w:rsidR="00084B42" w:rsidRPr="00084B42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表</w:t>
            </w:r>
            <w:r w:rsidR="00063C63" w:rsidRPr="004454A6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業、金屬基本工業≦</w:t>
            </w:r>
            <w:r w:rsidR="00063C63" w:rsidRPr="004454A6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150 CMD</w:t>
            </w:r>
            <w:r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2409" w:type="dxa"/>
          </w:tcPr>
          <w:p w14:paraId="10155863" w14:textId="280E78AF" w:rsidR="00957BF6" w:rsidRPr="009336A6" w:rsidRDefault="00957BF6" w:rsidP="00957B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民國年</w:t>
            </w: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份</w:t>
            </w:r>
          </w:p>
        </w:tc>
        <w:tc>
          <w:tcPr>
            <w:tcW w:w="3261" w:type="dxa"/>
          </w:tcPr>
          <w:p w14:paraId="1DEC9513" w14:textId="4E3892C3" w:rsidR="00957BF6" w:rsidRPr="009336A6" w:rsidRDefault="00957BF6" w:rsidP="00957B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請填建議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濃度</w:t>
            </w:r>
          </w:p>
        </w:tc>
      </w:tr>
    </w:tbl>
    <w:p w14:paraId="6B07C80A" w14:textId="29B65F67" w:rsidR="009336A6" w:rsidRPr="00B10259" w:rsidRDefault="009336A6" w:rsidP="009336A6">
      <w:pPr>
        <w:pStyle w:val="a9"/>
        <w:ind w:left="851"/>
        <w:rPr>
          <w:rFonts w:ascii="標楷體" w:eastAsia="標楷體" w:hAnsi="標楷體"/>
          <w:b/>
          <w:bCs/>
          <w:color w:val="0070C0"/>
        </w:rPr>
      </w:pPr>
    </w:p>
    <w:p w14:paraId="48AFD602" w14:textId="77777777" w:rsidR="00590C3B" w:rsidRDefault="00590C3B" w:rsidP="00590C3B">
      <w:pPr>
        <w:pStyle w:val="a9"/>
        <w:numPr>
          <w:ilvl w:val="0"/>
          <w:numId w:val="6"/>
        </w:numPr>
        <w:ind w:left="709"/>
        <w:rPr>
          <w:rFonts w:ascii="標楷體" w:eastAsia="標楷體" w:hAnsi="標楷體"/>
          <w:b/>
          <w:bCs/>
          <w:color w:val="0070C0"/>
        </w:rPr>
      </w:pPr>
      <w:r w:rsidRPr="00B10259">
        <w:rPr>
          <w:rFonts w:ascii="標楷體" w:eastAsia="標楷體" w:hAnsi="標楷體" w:hint="eastAsia"/>
          <w:b/>
          <w:bCs/>
          <w:color w:val="0070C0"/>
        </w:rPr>
        <w:t>理由：</w:t>
      </w:r>
    </w:p>
    <w:p w14:paraId="32228CEB" w14:textId="77777777" w:rsidR="009336A6" w:rsidRDefault="009336A6" w:rsidP="009336A6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7284ECAF" w14:textId="77777777" w:rsidR="009336A6" w:rsidRPr="00B10259" w:rsidRDefault="009336A6" w:rsidP="009336A6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07BDB0AB" w14:textId="4F694E89" w:rsidR="00590C3B" w:rsidRDefault="00590C3B" w:rsidP="00590C3B">
      <w:pPr>
        <w:pStyle w:val="a9"/>
        <w:numPr>
          <w:ilvl w:val="0"/>
          <w:numId w:val="6"/>
        </w:numPr>
        <w:ind w:left="709"/>
        <w:rPr>
          <w:rFonts w:ascii="標楷體" w:eastAsia="標楷體" w:hAnsi="標楷體"/>
          <w:b/>
          <w:bCs/>
          <w:color w:val="0070C0"/>
        </w:rPr>
      </w:pPr>
      <w:r w:rsidRPr="00B10259">
        <w:rPr>
          <w:rFonts w:ascii="標楷體" w:eastAsia="標楷體" w:hAnsi="標楷體" w:hint="eastAsia"/>
          <w:b/>
          <w:bCs/>
          <w:color w:val="0070C0"/>
        </w:rPr>
        <w:t>其他方案建議(僅訂定第1階段)。</w:t>
      </w:r>
    </w:p>
    <w:p w14:paraId="7078E331" w14:textId="77777777" w:rsidR="009336A6" w:rsidRDefault="009336A6" w:rsidP="009336A6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68B0C51C" w14:textId="77777777" w:rsidR="009336A6" w:rsidRPr="00B10259" w:rsidRDefault="009336A6" w:rsidP="009336A6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51747C44" w14:textId="1770EFF6" w:rsidR="001F1F7C" w:rsidRPr="00B10259" w:rsidRDefault="001A3EDC" w:rsidP="001F1F7C">
      <w:pPr>
        <w:pStyle w:val="a9"/>
        <w:numPr>
          <w:ilvl w:val="0"/>
          <w:numId w:val="1"/>
        </w:numPr>
        <w:ind w:hanging="567"/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  <w:b/>
          <w:bCs/>
        </w:rPr>
        <w:t>其他建議：</w:t>
      </w:r>
      <w:r w:rsidRPr="00B10259">
        <w:rPr>
          <w:rFonts w:ascii="標楷體" w:eastAsia="標楷體" w:hAnsi="標楷體" w:hint="eastAsia"/>
          <w:b/>
          <w:bCs/>
          <w:color w:val="0070C0"/>
        </w:rPr>
        <w:t>(</w:t>
      </w:r>
      <w:r w:rsidR="00590C3B" w:rsidRPr="00B10259">
        <w:rPr>
          <w:rFonts w:ascii="標楷體" w:eastAsia="標楷體" w:hAnsi="標楷體" w:hint="eastAsia"/>
          <w:b/>
          <w:bCs/>
          <w:color w:val="0070C0"/>
        </w:rPr>
        <w:t>如目前無經濟可行技術，嚴重衝擊，建議不訂說明理由</w:t>
      </w:r>
      <w:r w:rsidRPr="00B10259">
        <w:rPr>
          <w:rFonts w:ascii="標楷體" w:eastAsia="標楷體" w:hAnsi="標楷體" w:hint="eastAsia"/>
          <w:b/>
          <w:bCs/>
          <w:color w:val="0070C0"/>
        </w:rPr>
        <w:t>)</w:t>
      </w:r>
    </w:p>
    <w:sectPr w:rsidR="001F1F7C" w:rsidRPr="00B10259" w:rsidSect="00BE5713">
      <w:pgSz w:w="11906" w:h="16838"/>
      <w:pgMar w:top="851" w:right="1274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7649"/>
    <w:multiLevelType w:val="hybridMultilevel"/>
    <w:tmpl w:val="89CE3F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D3FA2"/>
    <w:multiLevelType w:val="hybridMultilevel"/>
    <w:tmpl w:val="89CE3FB6"/>
    <w:lvl w:ilvl="0" w:tplc="FFFFFFFF">
      <w:start w:val="1"/>
      <w:numFmt w:val="decimal"/>
      <w:lvlText w:val="%1."/>
      <w:lvlJc w:val="left"/>
      <w:pPr>
        <w:ind w:left="1048" w:hanging="480"/>
      </w:pPr>
    </w:lvl>
    <w:lvl w:ilvl="1" w:tplc="FFFFFFFF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32727DA7"/>
    <w:multiLevelType w:val="hybridMultilevel"/>
    <w:tmpl w:val="89CE3F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E0217A"/>
    <w:multiLevelType w:val="hybridMultilevel"/>
    <w:tmpl w:val="89CE3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A74182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B41176"/>
    <w:multiLevelType w:val="hybridMultilevel"/>
    <w:tmpl w:val="F22C0CA0"/>
    <w:lvl w:ilvl="0" w:tplc="C4800050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AC0B07"/>
    <w:multiLevelType w:val="hybridMultilevel"/>
    <w:tmpl w:val="89CE3F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FA586F"/>
    <w:multiLevelType w:val="hybridMultilevel"/>
    <w:tmpl w:val="32F41C6E"/>
    <w:lvl w:ilvl="0" w:tplc="B58436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9552645">
    <w:abstractNumId w:val="4"/>
  </w:num>
  <w:num w:numId="2" w16cid:durableId="2087726380">
    <w:abstractNumId w:val="3"/>
  </w:num>
  <w:num w:numId="3" w16cid:durableId="833564952">
    <w:abstractNumId w:val="6"/>
  </w:num>
  <w:num w:numId="4" w16cid:durableId="1010259994">
    <w:abstractNumId w:val="2"/>
  </w:num>
  <w:num w:numId="5" w16cid:durableId="2122722243">
    <w:abstractNumId w:val="5"/>
  </w:num>
  <w:num w:numId="6" w16cid:durableId="541747365">
    <w:abstractNumId w:val="1"/>
  </w:num>
  <w:num w:numId="7" w16cid:durableId="41786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3E"/>
    <w:rsid w:val="00002637"/>
    <w:rsid w:val="00010283"/>
    <w:rsid w:val="00063C63"/>
    <w:rsid w:val="00084B42"/>
    <w:rsid w:val="00102193"/>
    <w:rsid w:val="00152D6E"/>
    <w:rsid w:val="00192626"/>
    <w:rsid w:val="001A3EDC"/>
    <w:rsid w:val="001A4FAF"/>
    <w:rsid w:val="001F1E7D"/>
    <w:rsid w:val="001F1F7C"/>
    <w:rsid w:val="001F538B"/>
    <w:rsid w:val="0024688E"/>
    <w:rsid w:val="002531A1"/>
    <w:rsid w:val="00272461"/>
    <w:rsid w:val="00275351"/>
    <w:rsid w:val="002B4321"/>
    <w:rsid w:val="002D1E5F"/>
    <w:rsid w:val="003752A4"/>
    <w:rsid w:val="0038255F"/>
    <w:rsid w:val="00391DDB"/>
    <w:rsid w:val="00392522"/>
    <w:rsid w:val="00403E26"/>
    <w:rsid w:val="004454A6"/>
    <w:rsid w:val="005005FC"/>
    <w:rsid w:val="005412B7"/>
    <w:rsid w:val="00590C3B"/>
    <w:rsid w:val="00596A43"/>
    <w:rsid w:val="005B59DF"/>
    <w:rsid w:val="005C7BE3"/>
    <w:rsid w:val="005F0F75"/>
    <w:rsid w:val="005F331B"/>
    <w:rsid w:val="00645130"/>
    <w:rsid w:val="00665049"/>
    <w:rsid w:val="006807E9"/>
    <w:rsid w:val="0068573C"/>
    <w:rsid w:val="006B6D15"/>
    <w:rsid w:val="0070474D"/>
    <w:rsid w:val="00767F3E"/>
    <w:rsid w:val="0077250A"/>
    <w:rsid w:val="00814C12"/>
    <w:rsid w:val="00827930"/>
    <w:rsid w:val="008358CA"/>
    <w:rsid w:val="00856E85"/>
    <w:rsid w:val="00885252"/>
    <w:rsid w:val="00900482"/>
    <w:rsid w:val="009336A6"/>
    <w:rsid w:val="00952E6F"/>
    <w:rsid w:val="00957BF6"/>
    <w:rsid w:val="00965FC4"/>
    <w:rsid w:val="009A1270"/>
    <w:rsid w:val="00A75521"/>
    <w:rsid w:val="00A81CDD"/>
    <w:rsid w:val="00AC6E2D"/>
    <w:rsid w:val="00AE13CE"/>
    <w:rsid w:val="00AF6C29"/>
    <w:rsid w:val="00B10259"/>
    <w:rsid w:val="00B51103"/>
    <w:rsid w:val="00BD1957"/>
    <w:rsid w:val="00BE5713"/>
    <w:rsid w:val="00BF3F30"/>
    <w:rsid w:val="00C1370D"/>
    <w:rsid w:val="00C20BB0"/>
    <w:rsid w:val="00CA0B66"/>
    <w:rsid w:val="00D3571C"/>
    <w:rsid w:val="00D659CE"/>
    <w:rsid w:val="00DE60C7"/>
    <w:rsid w:val="00DF38AB"/>
    <w:rsid w:val="00E20660"/>
    <w:rsid w:val="00E607CB"/>
    <w:rsid w:val="00EB1EF5"/>
    <w:rsid w:val="00EB3AFC"/>
    <w:rsid w:val="00F363CB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2D42"/>
  <w15:chartTrackingRefBased/>
  <w15:docId w15:val="{82528AF8-BF3D-45DB-8F4A-654EB2A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F3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F3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F3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F3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F3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F3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7F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7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7F3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7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7F3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7F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7F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7F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7F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7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7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F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7F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7F3E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590C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0C3B"/>
  </w:style>
  <w:style w:type="character" w:customStyle="1" w:styleId="af0">
    <w:name w:val="註解文字 字元"/>
    <w:basedOn w:val="a0"/>
    <w:link w:val="af"/>
    <w:uiPriority w:val="99"/>
    <w:semiHidden/>
    <w:rsid w:val="00590C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C3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90C3B"/>
    <w:rPr>
      <w:b/>
      <w:bCs/>
    </w:rPr>
  </w:style>
  <w:style w:type="table" w:styleId="af3">
    <w:name w:val="Table Grid"/>
    <w:basedOn w:val="a1"/>
    <w:uiPriority w:val="39"/>
    <w:rsid w:val="00B1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產基會_吳厚明</dc:creator>
  <cp:keywords/>
  <dc:description/>
  <cp:lastModifiedBy>劉O祥</cp:lastModifiedBy>
  <cp:revision>43</cp:revision>
  <dcterms:created xsi:type="dcterms:W3CDTF">2024-06-14T07:42:00Z</dcterms:created>
  <dcterms:modified xsi:type="dcterms:W3CDTF">2024-06-20T10:13:00Z</dcterms:modified>
</cp:coreProperties>
</file>